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D37" w:rsidRDefault="009C7D37" w:rsidP="009C7D37">
      <w:pPr>
        <w:spacing w:after="0"/>
        <w:jc w:val="center"/>
        <w:rPr>
          <w:rFonts w:ascii="Times New Roman" w:hAnsi="Times New Roman"/>
          <w:b/>
          <w:spacing w:val="-12"/>
          <w:sz w:val="28"/>
          <w:szCs w:val="28"/>
        </w:rPr>
      </w:pPr>
      <w:r w:rsidRPr="009C7D37">
        <w:rPr>
          <w:rFonts w:ascii="Times New Roman" w:hAnsi="Times New Roman"/>
          <w:b/>
          <w:spacing w:val="-12"/>
          <w:sz w:val="28"/>
          <w:szCs w:val="28"/>
        </w:rPr>
        <w:t>BÀI THAM LUẬN CỦA SỞ VĂN HÓA, THỂ THAO</w:t>
      </w:r>
    </w:p>
    <w:p w:rsidR="009C7D37" w:rsidRPr="009C7D37" w:rsidRDefault="009C7D37" w:rsidP="009C7D37">
      <w:pPr>
        <w:spacing w:after="0"/>
        <w:jc w:val="center"/>
        <w:rPr>
          <w:rFonts w:ascii="Times New Roman" w:hAnsi="Times New Roman"/>
          <w:b/>
          <w:spacing w:val="-12"/>
          <w:sz w:val="28"/>
          <w:szCs w:val="28"/>
        </w:rPr>
      </w:pPr>
      <w:r w:rsidRPr="009C7D37">
        <w:rPr>
          <w:rFonts w:ascii="Times New Roman" w:hAnsi="Times New Roman"/>
          <w:b/>
          <w:spacing w:val="-12"/>
          <w:sz w:val="28"/>
          <w:szCs w:val="28"/>
        </w:rPr>
        <w:t xml:space="preserve"> VÀ DU LỊCH </w:t>
      </w:r>
      <w:r>
        <w:rPr>
          <w:rFonts w:ascii="Times New Roman" w:hAnsi="Times New Roman"/>
          <w:b/>
          <w:spacing w:val="-12"/>
          <w:sz w:val="28"/>
          <w:szCs w:val="28"/>
        </w:rPr>
        <w:t>BÌNH THUẬN</w:t>
      </w:r>
    </w:p>
    <w:p w:rsidR="009C7D37" w:rsidRPr="009C7D37" w:rsidRDefault="009C7D37" w:rsidP="009C7D37">
      <w:pPr>
        <w:spacing w:after="0"/>
        <w:jc w:val="center"/>
        <w:rPr>
          <w:rFonts w:ascii="Times New Roman" w:hAnsi="Times New Roman" w:cs="Times New Roman"/>
          <w:b/>
          <w:i/>
          <w:sz w:val="28"/>
          <w:szCs w:val="28"/>
        </w:rPr>
      </w:pPr>
      <w:r w:rsidRPr="009C7D37">
        <w:rPr>
          <w:rFonts w:ascii="Times New Roman" w:hAnsi="Times New Roman" w:cs="Times New Roman"/>
          <w:b/>
          <w:sz w:val="28"/>
          <w:szCs w:val="28"/>
        </w:rPr>
        <w:t>Kiểm đếm các loại tài nguyên du lịch tỉnh Bình Thuận và làm rõ các vấn đề liên quan đến công tác điều tra, đánh giá, phân loại tài nguyên du lịch</w:t>
      </w:r>
    </w:p>
    <w:p w:rsidR="009C7D37" w:rsidRPr="009C7D37" w:rsidRDefault="009C7D37" w:rsidP="00400255">
      <w:pPr>
        <w:spacing w:before="120" w:after="0"/>
        <w:ind w:firstLine="720"/>
        <w:contextualSpacing/>
        <w:rPr>
          <w:rFonts w:ascii="Times New Roman" w:hAnsi="Times New Roman"/>
          <w:sz w:val="28"/>
          <w:szCs w:val="28"/>
        </w:rPr>
      </w:pPr>
      <w:r w:rsidRPr="009C7D37">
        <w:rPr>
          <w:rFonts w:ascii="Times New Roman" w:hAnsi="Times New Roman"/>
          <w:sz w:val="28"/>
          <w:szCs w:val="28"/>
        </w:rPr>
        <w:t xml:space="preserve">I. </w:t>
      </w:r>
      <w:r w:rsidR="00214C4F">
        <w:rPr>
          <w:rFonts w:ascii="Times New Roman" w:hAnsi="Times New Roman"/>
          <w:sz w:val="28"/>
          <w:szCs w:val="28"/>
        </w:rPr>
        <w:t>THỰC TRẠNG</w:t>
      </w:r>
      <w:r w:rsidRPr="009C7D37">
        <w:rPr>
          <w:rFonts w:ascii="Times New Roman" w:hAnsi="Times New Roman"/>
          <w:sz w:val="28"/>
          <w:szCs w:val="28"/>
        </w:rPr>
        <w:t xml:space="preserve"> TÀI NGUYÊN DU LỊCH TỈNH </w:t>
      </w:r>
      <w:r w:rsidRPr="009C7D37">
        <w:rPr>
          <w:rFonts w:ascii="Times New Roman" w:hAnsi="Times New Roman"/>
          <w:sz w:val="28"/>
          <w:szCs w:val="28"/>
        </w:rPr>
        <w:t>BÌNH THUẬN</w:t>
      </w:r>
      <w:r w:rsidRPr="009C7D37">
        <w:rPr>
          <w:rFonts w:ascii="Times New Roman" w:hAnsi="Times New Roman"/>
          <w:sz w:val="28"/>
          <w:szCs w:val="28"/>
        </w:rPr>
        <w:t xml:space="preserve"> </w:t>
      </w:r>
    </w:p>
    <w:p w:rsidR="00510F37" w:rsidRPr="00510F37" w:rsidRDefault="00510F37" w:rsidP="00400255">
      <w:pPr>
        <w:spacing w:before="120" w:after="0" w:line="240" w:lineRule="auto"/>
        <w:ind w:firstLine="652"/>
        <w:jc w:val="both"/>
        <w:rPr>
          <w:rFonts w:ascii="Times New Roman" w:eastAsia="Calibri" w:hAnsi="Times New Roman" w:cs="Times New Roman"/>
          <w:color w:val="000000"/>
          <w:sz w:val="28"/>
          <w:szCs w:val="28"/>
        </w:rPr>
      </w:pPr>
      <w:r w:rsidRPr="00510F37">
        <w:rPr>
          <w:rFonts w:ascii="Times New Roman" w:eastAsia="Calibri" w:hAnsi="Times New Roman" w:cs="Times New Roman"/>
          <w:bCs/>
          <w:sz w:val="28"/>
          <w:szCs w:val="28"/>
        </w:rPr>
        <w:t xml:space="preserve">Bình Thuận nằm ở cực Nam Trung Bộ, có vị trí khá thuận lợi trong giao lưu kinh tế, văn hoá, xã hội với các tỉnh thuộc miền Đông Nam bộ, các tỉnh Nam Trung Bộ và Tây Nguyên. </w:t>
      </w:r>
      <w:r w:rsidRPr="00510F37">
        <w:rPr>
          <w:rFonts w:ascii="Times New Roman" w:eastAsia="Calibri" w:hAnsi="Times New Roman" w:cs="Times New Roman"/>
          <w:color w:val="000000"/>
          <w:sz w:val="28"/>
          <w:szCs w:val="28"/>
        </w:rPr>
        <w:t>Bên cạnh đó, có nguồn tài nguyên du lịch tự nhiên phong phú gắn với biển, đảo và rừng tự nhiên. Có bờ biển dài 192km, nhiều bãi biển đẹp, nhiều khu bảo tồn thiên nhiên cấp quốc gia.</w:t>
      </w:r>
    </w:p>
    <w:p w:rsidR="009C7D37" w:rsidRDefault="00510F37" w:rsidP="00400255">
      <w:pPr>
        <w:widowControl w:val="0"/>
        <w:tabs>
          <w:tab w:val="left" w:pos="426"/>
        </w:tabs>
        <w:spacing w:before="120" w:after="0" w:line="240" w:lineRule="auto"/>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9C7D37" w:rsidRPr="009C7D37">
        <w:rPr>
          <w:rFonts w:ascii="Times New Roman" w:eastAsia="Times New Roman" w:hAnsi="Times New Roman" w:cs="Times New Roman"/>
          <w:color w:val="000000"/>
          <w:sz w:val="28"/>
          <w:szCs w:val="28"/>
        </w:rPr>
        <w:t xml:space="preserve">Là tỉnh có tài nguyên nhân văn đa dạng, nhiều di tích lịch sử cấp quốc gia nổi tiếng như </w:t>
      </w:r>
      <w:r w:rsidR="009C7D37" w:rsidRPr="009C7D37">
        <w:rPr>
          <w:rFonts w:ascii="Times New Roman" w:eastAsia="Times New Roman" w:hAnsi="Times New Roman" w:cs="Times New Roman"/>
          <w:color w:val="000000"/>
          <w:sz w:val="28"/>
          <w:szCs w:val="28"/>
          <w:lang w:val="vi-VN"/>
        </w:rPr>
        <w:t>tháp Chăm Pô</w:t>
      </w:r>
      <w:r w:rsidR="009C7D37" w:rsidRPr="009C7D37">
        <w:rPr>
          <w:rFonts w:ascii="Times New Roman" w:eastAsia="Times New Roman" w:hAnsi="Times New Roman" w:cs="Times New Roman"/>
          <w:color w:val="000000"/>
          <w:sz w:val="28"/>
          <w:szCs w:val="28"/>
        </w:rPr>
        <w:t xml:space="preserve"> Sah I</w:t>
      </w:r>
      <w:r w:rsidR="009C7D37" w:rsidRPr="009C7D37">
        <w:rPr>
          <w:rFonts w:ascii="Times New Roman" w:eastAsia="Times New Roman" w:hAnsi="Times New Roman" w:cs="Times New Roman"/>
          <w:color w:val="000000"/>
          <w:sz w:val="28"/>
          <w:szCs w:val="28"/>
          <w:lang w:val="vi-VN"/>
        </w:rPr>
        <w:t>nư</w:t>
      </w:r>
      <w:r w:rsidR="009C7D37" w:rsidRPr="009C7D37">
        <w:rPr>
          <w:rFonts w:ascii="Times New Roman" w:eastAsia="Times New Roman" w:hAnsi="Times New Roman" w:cs="Times New Roman"/>
          <w:color w:val="000000"/>
          <w:sz w:val="28"/>
          <w:szCs w:val="28"/>
        </w:rPr>
        <w:t xml:space="preserve">, </w:t>
      </w:r>
      <w:r w:rsidRPr="00510F37">
        <w:rPr>
          <w:rFonts w:ascii="Times New Roman" w:eastAsia="Calibri" w:hAnsi="Times New Roman" w:cs="Times New Roman"/>
          <w:sz w:val="28"/>
          <w:szCs w:val="28"/>
        </w:rPr>
        <w:t>Trường Dục Thanh-nơi Bác Hồ ở và dạy học tại Phan Thiết; Dinh Vạn Thuỷ Tú (nơi lưu giữ hàng trăm bộ xương cá voi- có bộ trên 200 tuổi), Mũi Điện Khe Gà với ngọn hải đăng cao 54 mét, được xây dựng cách đây hơn 100 năm, Chùa Núi Tà Cú ở độ cao 470 mét so với mặt biển, với tượng Phật nằm, dài 49 mét, Dinh Thầy Thím, Cổ Thạch Tự, các lễ hội văn hóa truyền thống mang đậm bản sắc dân tộc như: Lễ hội Nghinh Ông, lễ hội Katê, lễ hội Dinh Thầy Thím, lễ hội rước đèn Trung Thu.</w:t>
      </w:r>
      <w:r w:rsidRPr="00510F37">
        <w:rPr>
          <w:rFonts w:ascii="Times New Roman" w:eastAsia="Calibri" w:hAnsi="Times New Roman" w:cs="Times New Roman"/>
          <w:color w:val="000000"/>
          <w:sz w:val="28"/>
          <w:szCs w:val="28"/>
        </w:rPr>
        <w:t xml:space="preserve">... </w:t>
      </w:r>
      <w:r w:rsidR="009C7D37" w:rsidRPr="009C7D37">
        <w:rPr>
          <w:rFonts w:ascii="Times New Roman" w:eastAsia="Times New Roman" w:hAnsi="Times New Roman" w:cs="Times New Roman"/>
          <w:color w:val="000000"/>
          <w:sz w:val="28"/>
          <w:szCs w:val="28"/>
        </w:rPr>
        <w:t xml:space="preserve">Trên địa bàn tỉnh có 34 dân tộc cùng sinh sống như dân tộc Kinh, Raglai, Hoa, Chăm, Giarai, </w:t>
      </w:r>
      <w:hyperlink r:id="rId6" w:tooltip="Người Cơ Ho" w:history="1">
        <w:r w:rsidR="009C7D37" w:rsidRPr="009C7D37">
          <w:rPr>
            <w:rFonts w:ascii="Times New Roman" w:eastAsia="Times New Roman" w:hAnsi="Times New Roman" w:cs="Times New Roman"/>
            <w:color w:val="000000"/>
            <w:sz w:val="28"/>
            <w:szCs w:val="28"/>
          </w:rPr>
          <w:t>Cơ Ho</w:t>
        </w:r>
      </w:hyperlink>
      <w:r w:rsidR="009C7D37" w:rsidRPr="009C7D37">
        <w:rPr>
          <w:rFonts w:ascii="Times New Roman" w:eastAsia="Times New Roman" w:hAnsi="Times New Roman" w:cs="Times New Roman"/>
          <w:color w:val="000000"/>
          <w:sz w:val="28"/>
          <w:szCs w:val="28"/>
        </w:rPr>
        <w:t xml:space="preserve">, </w:t>
      </w:r>
      <w:hyperlink r:id="rId7" w:tooltip="Người Tày" w:history="1">
        <w:r w:rsidR="009C7D37" w:rsidRPr="009C7D37">
          <w:rPr>
            <w:rFonts w:ascii="Times New Roman" w:eastAsia="Times New Roman" w:hAnsi="Times New Roman" w:cs="Times New Roman"/>
            <w:color w:val="000000"/>
            <w:sz w:val="28"/>
            <w:szCs w:val="28"/>
          </w:rPr>
          <w:t>Tày</w:t>
        </w:r>
      </w:hyperlink>
      <w:r w:rsidR="009C7D37" w:rsidRPr="009C7D37">
        <w:rPr>
          <w:rFonts w:ascii="Times New Roman" w:eastAsia="Times New Roman" w:hAnsi="Times New Roman" w:cs="Times New Roman"/>
          <w:color w:val="000000"/>
          <w:sz w:val="28"/>
          <w:szCs w:val="28"/>
        </w:rPr>
        <w:t xml:space="preserve">, </w:t>
      </w:r>
      <w:hyperlink r:id="rId8" w:tooltip="Người Chơ Ro" w:history="1">
        <w:r w:rsidR="009C7D37" w:rsidRPr="009C7D37">
          <w:rPr>
            <w:rFonts w:ascii="Times New Roman" w:eastAsia="Times New Roman" w:hAnsi="Times New Roman" w:cs="Times New Roman"/>
            <w:color w:val="000000"/>
            <w:sz w:val="28"/>
            <w:szCs w:val="28"/>
          </w:rPr>
          <w:t>Chơ Ro</w:t>
        </w:r>
      </w:hyperlink>
      <w:r w:rsidR="009C7D37" w:rsidRPr="009C7D37">
        <w:rPr>
          <w:rFonts w:ascii="Times New Roman" w:eastAsia="Times New Roman" w:hAnsi="Times New Roman" w:cs="Times New Roman"/>
          <w:color w:val="000000"/>
          <w:sz w:val="28"/>
          <w:szCs w:val="28"/>
        </w:rPr>
        <w:t xml:space="preserve">, </w:t>
      </w:r>
      <w:hyperlink r:id="rId9" w:tooltip="Người Nùng" w:history="1">
        <w:r w:rsidR="009C7D37" w:rsidRPr="009C7D37">
          <w:rPr>
            <w:rFonts w:ascii="Times New Roman" w:eastAsia="Times New Roman" w:hAnsi="Times New Roman" w:cs="Times New Roman"/>
            <w:color w:val="000000"/>
            <w:sz w:val="28"/>
            <w:szCs w:val="28"/>
          </w:rPr>
          <w:t>Nùng</w:t>
        </w:r>
      </w:hyperlink>
      <w:r w:rsidR="009C7D37" w:rsidRPr="009C7D37">
        <w:rPr>
          <w:rFonts w:ascii="Times New Roman" w:eastAsia="Times New Roman" w:hAnsi="Times New Roman" w:cs="Times New Roman"/>
          <w:color w:val="000000"/>
          <w:sz w:val="28"/>
          <w:szCs w:val="28"/>
        </w:rPr>
        <w:t xml:space="preserve">,... Mỗi dân tộc có những nền văn hóa, phong tục tập quán, ngành nghề truyền thống, lễ hội, lịch sử khác nhau tạo cho tỉnh một nền văn hóa mang đậm bản sắc riêng. Và những sản phẩm đặc trưng đã được Trung tâm sách kỷ lục Việt Nam công nhận như Thương hiệu nước mắm đầu tiên tại Việt Nam, Đồi cát bay Mũi Né, Bãi đá Cổ Thạch, Resort - hotel nằm ven biển nhiều nhất, lễ hội Nghinh Ông Quan thánh Đế Quân, Rồng xanh dài nhất, Tượng Phật Thích ca nhập niết bàn dài nhất, diện tích trồng thanh long nhiều nhất, nuôi trồng tảo quý Spirulina, .... Với thuận lợi về vị trí, nhiều tài nguyên du lịch là động lực cho ngành du lịch phát triển, hướng tới ngành kinh tế mũi nhọn của tỉnh. </w:t>
      </w:r>
    </w:p>
    <w:p w:rsidR="00510F37" w:rsidRPr="00510F37" w:rsidRDefault="00214C4F" w:rsidP="00400255">
      <w:pPr>
        <w:spacing w:before="120"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Theo thống kê sơ bộ, Bình Thuận có hơn 127 tài nguyên du lịch tự nhiên và nhân văn; </w:t>
      </w:r>
      <w:r w:rsidR="00510F37" w:rsidRPr="00510F37">
        <w:rPr>
          <w:rFonts w:ascii="Times New Roman" w:eastAsia="Calibri" w:hAnsi="Times New Roman" w:cs="Times New Roman"/>
          <w:color w:val="000000"/>
          <w:sz w:val="28"/>
          <w:szCs w:val="28"/>
        </w:rPr>
        <w:t>Với lợi thế về tài nguyên du lịch cùng khí hậu nắng ấm quanh năm, ít mưa bão,</w:t>
      </w:r>
      <w:r w:rsidR="00510F37" w:rsidRPr="00510F37">
        <w:rPr>
          <w:rFonts w:ascii="Times New Roman" w:eastAsia="Calibri" w:hAnsi="Times New Roman" w:cs="Times New Roman"/>
          <w:b/>
          <w:sz w:val="28"/>
          <w:szCs w:val="28"/>
        </w:rPr>
        <w:t xml:space="preserve"> </w:t>
      </w:r>
      <w:r w:rsidR="00510F37" w:rsidRPr="00510F37">
        <w:rPr>
          <w:rFonts w:ascii="Times New Roman" w:eastAsia="Calibri" w:hAnsi="Times New Roman" w:cs="Times New Roman"/>
          <w:sz w:val="28"/>
          <w:szCs w:val="28"/>
        </w:rPr>
        <w:t>Bình Thuận có điều kiện thuận lợi để</w:t>
      </w:r>
      <w:r w:rsidR="00510F37" w:rsidRPr="00510F37">
        <w:rPr>
          <w:rFonts w:ascii="Times New Roman" w:eastAsia="Calibri" w:hAnsi="Times New Roman" w:cs="Times New Roman"/>
          <w:sz w:val="28"/>
          <w:szCs w:val="28"/>
          <w:lang w:val="vi-VN"/>
        </w:rPr>
        <w:t xml:space="preserve"> phát triển các loại hình</w:t>
      </w:r>
      <w:r w:rsidR="00510F37" w:rsidRPr="00510F37">
        <w:rPr>
          <w:rFonts w:ascii="Times New Roman" w:eastAsia="Calibri" w:hAnsi="Times New Roman" w:cs="Times New Roman"/>
          <w:sz w:val="28"/>
          <w:szCs w:val="28"/>
        </w:rPr>
        <w:t xml:space="preserve"> </w:t>
      </w:r>
      <w:r w:rsidR="00510F37" w:rsidRPr="00510F37">
        <w:rPr>
          <w:rFonts w:ascii="Times New Roman" w:eastAsia="Calibri" w:hAnsi="Times New Roman" w:cs="Times New Roman"/>
          <w:sz w:val="28"/>
          <w:szCs w:val="28"/>
          <w:lang w:val="vi-VN"/>
        </w:rPr>
        <w:t>du lịch nghỉ dưỡng</w:t>
      </w:r>
      <w:r w:rsidR="00510F37" w:rsidRPr="00510F37">
        <w:rPr>
          <w:rFonts w:ascii="Times New Roman" w:eastAsia="Calibri" w:hAnsi="Times New Roman" w:cs="Times New Roman"/>
          <w:sz w:val="28"/>
          <w:szCs w:val="28"/>
        </w:rPr>
        <w:t>;</w:t>
      </w:r>
      <w:r w:rsidR="00510F37" w:rsidRPr="00510F37">
        <w:rPr>
          <w:rFonts w:ascii="Times New Roman" w:eastAsia="Calibri" w:hAnsi="Times New Roman" w:cs="Times New Roman"/>
          <w:sz w:val="28"/>
          <w:szCs w:val="28"/>
          <w:lang w:val="vi-VN"/>
        </w:rPr>
        <w:t xml:space="preserve"> tham quan dã ngoại</w:t>
      </w:r>
      <w:r w:rsidR="00510F37" w:rsidRPr="00510F37">
        <w:rPr>
          <w:rFonts w:ascii="Times New Roman" w:eastAsia="Calibri" w:hAnsi="Times New Roman" w:cs="Times New Roman"/>
          <w:sz w:val="28"/>
          <w:szCs w:val="28"/>
        </w:rPr>
        <w:t>;</w:t>
      </w:r>
      <w:r w:rsidR="00510F37" w:rsidRPr="00510F37">
        <w:rPr>
          <w:rFonts w:ascii="Times New Roman" w:eastAsia="Calibri" w:hAnsi="Times New Roman" w:cs="Times New Roman"/>
          <w:sz w:val="28"/>
          <w:szCs w:val="28"/>
          <w:lang w:val="vi-VN"/>
        </w:rPr>
        <w:t xml:space="preserve"> du lịch thể thao giải trí trên biển, trên đồi cát</w:t>
      </w:r>
      <w:r w:rsidR="00510F37" w:rsidRPr="00510F37">
        <w:rPr>
          <w:rFonts w:ascii="Times New Roman" w:eastAsia="Calibri" w:hAnsi="Times New Roman" w:cs="Times New Roman"/>
          <w:sz w:val="28"/>
          <w:szCs w:val="28"/>
        </w:rPr>
        <w:t xml:space="preserve">; du lịch văn hóa, tín ngưỡng; </w:t>
      </w:r>
      <w:r w:rsidR="00510F37" w:rsidRPr="00510F37">
        <w:rPr>
          <w:rFonts w:ascii="Times New Roman" w:eastAsia="Calibri" w:hAnsi="Times New Roman" w:cs="Times New Roman"/>
          <w:sz w:val="28"/>
          <w:szCs w:val="28"/>
          <w:lang w:val="vi-VN"/>
        </w:rPr>
        <w:t>du lịch lặn biển</w:t>
      </w:r>
      <w:r w:rsidR="00510F37" w:rsidRPr="00510F37">
        <w:rPr>
          <w:rFonts w:ascii="Times New Roman" w:eastAsia="Calibri" w:hAnsi="Times New Roman" w:cs="Times New Roman"/>
          <w:sz w:val="28"/>
          <w:szCs w:val="28"/>
        </w:rPr>
        <w:t xml:space="preserve">, </w:t>
      </w:r>
      <w:r w:rsidR="00510F37" w:rsidRPr="00510F37">
        <w:rPr>
          <w:rFonts w:ascii="Times New Roman" w:eastAsia="Calibri" w:hAnsi="Times New Roman" w:cs="Times New Roman"/>
          <w:sz w:val="28"/>
          <w:szCs w:val="28"/>
          <w:lang w:val="vi-VN"/>
        </w:rPr>
        <w:t>nghiên cứu các hệ động, thực vật dưới biển</w:t>
      </w:r>
      <w:r w:rsidR="00510F37" w:rsidRPr="00510F37">
        <w:rPr>
          <w:rFonts w:ascii="Times New Roman" w:eastAsia="Calibri" w:hAnsi="Times New Roman" w:cs="Times New Roman"/>
          <w:sz w:val="28"/>
          <w:szCs w:val="28"/>
        </w:rPr>
        <w:t>; du lịch cộng đồng…</w:t>
      </w:r>
    </w:p>
    <w:p w:rsidR="00650209" w:rsidRPr="00650209" w:rsidRDefault="00650209" w:rsidP="00400255">
      <w:pPr>
        <w:spacing w:before="120" w:after="0" w:line="240" w:lineRule="auto"/>
        <w:ind w:firstLine="720"/>
        <w:jc w:val="both"/>
        <w:rPr>
          <w:rFonts w:ascii="Times New Roman" w:eastAsia="Times New Roman" w:hAnsi="Times New Roman" w:cs="Times New Roman"/>
          <w:sz w:val="28"/>
          <w:szCs w:val="28"/>
          <w:lang w:val="de-DE"/>
        </w:rPr>
      </w:pPr>
      <w:r w:rsidRPr="00650209">
        <w:rPr>
          <w:rFonts w:ascii="Times New Roman" w:eastAsia="Times New Roman" w:hAnsi="Times New Roman" w:cs="Times New Roman"/>
          <w:b/>
          <w:sz w:val="28"/>
          <w:szCs w:val="28"/>
          <w:lang w:val="de-DE"/>
        </w:rPr>
        <w:t>II. Định hướng tài nguyên và sản phẩm du lịch có khả năng phát triển cần được bảo tồn cảnh quan:</w:t>
      </w:r>
    </w:p>
    <w:p w:rsidR="00650209" w:rsidRPr="00650209" w:rsidRDefault="00650209" w:rsidP="00400255">
      <w:pPr>
        <w:spacing w:before="120" w:after="0" w:line="240" w:lineRule="auto"/>
        <w:ind w:firstLine="720"/>
        <w:jc w:val="both"/>
        <w:rPr>
          <w:rFonts w:ascii="Times New Roman" w:eastAsia="Times New Roman" w:hAnsi="Times New Roman" w:cs="Times New Roman"/>
          <w:sz w:val="28"/>
          <w:szCs w:val="28"/>
          <w:lang w:val="de-DE"/>
        </w:rPr>
      </w:pPr>
      <w:r w:rsidRPr="00650209">
        <w:rPr>
          <w:rFonts w:ascii="Times New Roman" w:eastAsia="Times New Roman" w:hAnsi="Times New Roman" w:cs="Times New Roman"/>
          <w:sz w:val="28"/>
          <w:szCs w:val="28"/>
          <w:lang w:val="de-DE"/>
        </w:rPr>
        <w:t xml:space="preserve">Tài nguyên du lịch biển tài nguyên đặc thù của du lịch Bình Thuận, với các vùng cảnh quan đẹp và hấp dẫn chạy dọc bờ biển, nổi bật nhất trong số đó là khu </w:t>
      </w:r>
      <w:r>
        <w:rPr>
          <w:rFonts w:ascii="Times New Roman" w:eastAsia="Times New Roman" w:hAnsi="Times New Roman" w:cs="Times New Roman"/>
          <w:sz w:val="28"/>
          <w:szCs w:val="28"/>
          <w:lang w:val="de-DE"/>
        </w:rPr>
        <w:t xml:space="preserve">du lịch quốc gia </w:t>
      </w:r>
      <w:r w:rsidRPr="00650209">
        <w:rPr>
          <w:rFonts w:ascii="Times New Roman" w:eastAsia="Times New Roman" w:hAnsi="Times New Roman" w:cs="Times New Roman"/>
          <w:sz w:val="28"/>
          <w:szCs w:val="28"/>
          <w:lang w:val="de-DE"/>
        </w:rPr>
        <w:t xml:space="preserve">Mũi Né. Đây chính là sự khẳng định thương hiệu vững chắc nhất đối với du lịch Bình Thuận. Ngoài ra </w:t>
      </w:r>
      <w:r>
        <w:rPr>
          <w:rFonts w:ascii="Times New Roman" w:eastAsia="Times New Roman" w:hAnsi="Times New Roman" w:cs="Times New Roman"/>
          <w:sz w:val="28"/>
          <w:szCs w:val="28"/>
          <w:lang w:val="de-DE"/>
        </w:rPr>
        <w:t>còn có</w:t>
      </w:r>
      <w:r w:rsidRPr="00650209">
        <w:rPr>
          <w:rFonts w:ascii="Times New Roman" w:eastAsia="Times New Roman" w:hAnsi="Times New Roman" w:cs="Times New Roman"/>
          <w:sz w:val="28"/>
          <w:szCs w:val="28"/>
          <w:lang w:val="de-DE"/>
        </w:rPr>
        <w:t xml:space="preserve"> các vùng cảnh quan giàu tiềm năng phát triển du lịch trong tương lai như các vùng hải đảo, vùng rừng tự nhiên, hồ nước nhân tạo, thác nước, suối nước nóng, và các công trình kiến trúc và di tích lịch sử truyền thống v.v...</w:t>
      </w:r>
    </w:p>
    <w:p w:rsidR="00650209" w:rsidRPr="00650209" w:rsidRDefault="00650209" w:rsidP="00400255">
      <w:pPr>
        <w:spacing w:before="120" w:after="0" w:line="240" w:lineRule="auto"/>
        <w:ind w:firstLine="720"/>
        <w:jc w:val="both"/>
        <w:rPr>
          <w:rFonts w:ascii="Times New Roman" w:eastAsia="Times New Roman" w:hAnsi="Times New Roman" w:cs="Times New Roman"/>
          <w:sz w:val="28"/>
          <w:szCs w:val="28"/>
          <w:lang w:val="de-DE"/>
        </w:rPr>
      </w:pPr>
      <w:r w:rsidRPr="00650209">
        <w:rPr>
          <w:rFonts w:ascii="Times New Roman" w:eastAsia="Times New Roman" w:hAnsi="Times New Roman" w:cs="Times New Roman"/>
          <w:sz w:val="28"/>
          <w:szCs w:val="28"/>
          <w:lang w:val="de-DE"/>
        </w:rPr>
        <w:lastRenderedPageBreak/>
        <w:t>Phát triển các sản phẩm du lịch cần gắn liền với các loại hình du lịch như: du lịch sinh thái, du lịch cộng đồng – tham quan làng nghề, du lịch nghỉ dưỡng chữa bệnh, du lịch và thể thao, tắm biển, du lịch lễ hội và hành hương, du lịch nông nghiệp.</w:t>
      </w:r>
    </w:p>
    <w:p w:rsidR="00650209" w:rsidRPr="00650209" w:rsidRDefault="00650209" w:rsidP="00400255">
      <w:pPr>
        <w:spacing w:before="120" w:after="0" w:line="240" w:lineRule="auto"/>
        <w:ind w:firstLine="720"/>
        <w:jc w:val="both"/>
        <w:rPr>
          <w:rFonts w:ascii="Times New Roman" w:eastAsia="Times New Roman" w:hAnsi="Times New Roman" w:cs="Times New Roman"/>
          <w:sz w:val="28"/>
          <w:szCs w:val="24"/>
          <w:lang w:val="de-DE"/>
        </w:rPr>
      </w:pPr>
      <w:r w:rsidRPr="00650209">
        <w:rPr>
          <w:rFonts w:ascii="Times New Roman" w:eastAsia="Times New Roman" w:hAnsi="Times New Roman" w:cs="Times New Roman"/>
          <w:sz w:val="28"/>
          <w:szCs w:val="24"/>
          <w:lang w:val="de-DE"/>
        </w:rPr>
        <w:t xml:space="preserve">Tôn tạo các di tích văn hoá lịch sử, khôi phục bảo tồn và phát triển các giá trị lễ hội truyền thống giới thiệu cho khách du lịch. Từng bước đưa du lịch văn hóa trở thành một trong những sản phẩm du lịch mũi nhọn của Bình Thuận </w:t>
      </w:r>
    </w:p>
    <w:p w:rsidR="00650209" w:rsidRPr="00650209" w:rsidRDefault="00650209" w:rsidP="00400255">
      <w:pPr>
        <w:spacing w:before="120" w:after="0" w:line="240" w:lineRule="auto"/>
        <w:ind w:firstLine="720"/>
        <w:jc w:val="both"/>
        <w:rPr>
          <w:rFonts w:ascii="Times New Roman" w:eastAsia="Times New Roman" w:hAnsi="Times New Roman" w:cs="Times New Roman"/>
          <w:sz w:val="28"/>
          <w:szCs w:val="24"/>
          <w:lang w:val="de-DE"/>
        </w:rPr>
      </w:pPr>
      <w:r w:rsidRPr="00650209">
        <w:rPr>
          <w:rFonts w:ascii="Times New Roman" w:eastAsia="Times New Roman" w:hAnsi="Times New Roman" w:cs="Times New Roman"/>
          <w:sz w:val="28"/>
          <w:szCs w:val="24"/>
          <w:lang w:val="de-DE"/>
        </w:rPr>
        <w:t>Bảo tồn phát triển cảnh quan gắn liền với việc gìn giữ các giá trị truyền thống của các làng nghề thủ công truyền thống như: Làng nghề dệt thổ cẩm La Dạ, làng nghề gốm gõ Bình Đức v.v.... Đảm bảo các hoạt động bảo tồn và phát triển cảnh quan du lịch phải gắn liền với đời sống và phong tục tập quán của các dân tộc sinh sống trên địa bàn tỉnh Bình Thuận, qua đó nâng cao nhận thức của người dân và làm tăng các giá trị văn hóa truyền thống. Nhân rộng mô hình về bảo tồn và phát triển cảnh quan có hiệu quả tới các khu vực có tiềm năng khác trong địa bàn toàn tỉnh.</w:t>
      </w:r>
    </w:p>
    <w:p w:rsidR="009C7D37" w:rsidRPr="009C7D37" w:rsidRDefault="00214C4F" w:rsidP="00400255">
      <w:pPr>
        <w:spacing w:before="120" w:after="0"/>
        <w:ind w:firstLine="720"/>
        <w:jc w:val="both"/>
        <w:rPr>
          <w:rFonts w:ascii="Times New Roman" w:hAnsi="Times New Roman"/>
          <w:b/>
          <w:sz w:val="28"/>
          <w:szCs w:val="28"/>
        </w:rPr>
      </w:pPr>
      <w:r>
        <w:rPr>
          <w:rFonts w:ascii="Times New Roman" w:hAnsi="Times New Roman"/>
          <w:b/>
          <w:sz w:val="28"/>
          <w:szCs w:val="28"/>
        </w:rPr>
        <w:t>III</w:t>
      </w:r>
      <w:r w:rsidR="009C7D37" w:rsidRPr="009C7D37">
        <w:rPr>
          <w:rFonts w:ascii="Times New Roman" w:hAnsi="Times New Roman"/>
          <w:b/>
          <w:sz w:val="28"/>
          <w:szCs w:val="28"/>
        </w:rPr>
        <w:t>. ĐỀ XUẤT, KIẾN NGHỊ</w:t>
      </w:r>
    </w:p>
    <w:p w:rsidR="009C7D37" w:rsidRPr="009C7D37" w:rsidRDefault="009C7D37" w:rsidP="00400255">
      <w:pPr>
        <w:spacing w:before="120" w:after="0"/>
        <w:ind w:firstLine="720"/>
        <w:jc w:val="both"/>
        <w:rPr>
          <w:rFonts w:ascii="Times New Roman" w:hAnsi="Times New Roman" w:cs="Times New Roman"/>
          <w:sz w:val="28"/>
          <w:szCs w:val="28"/>
        </w:rPr>
      </w:pPr>
      <w:r w:rsidRPr="009C7D37">
        <w:rPr>
          <w:rFonts w:ascii="Times New Roman" w:hAnsi="Times New Roman" w:cs="Times New Roman"/>
          <w:sz w:val="28"/>
          <w:shd w:val="clear" w:color="auto" w:fill="FFFFFF"/>
        </w:rPr>
        <w:t>Việc công nhận khu, điểm du lịch sẽ tạo ra hành lang pháp lý quan trọng cho việc bảo vệ nguồn tài nguyên du lịch tự nhiên và nhân văn trên địa bàn; tạo điều kiện để khai thác hiệu quả tài nguyên du lịch, thông qua việc thu hút các nguồn lực đầu tư, bao gồm cả nguồn lực từ ngân sách Nhà nước và các nguồn lực xã hội khác. Qua đó, hoàn thiện hạ tầng và cơ sở vật chất du lịch; từng bước nâng cao chất lượng quản lý, khai thác và đẩy mạnh hoạt động quảng bá, giới thiệu điểm đến du lịch, góp phần nâng cao ý thức trách nhiệm của chính quyền địa phương, doanh nghiệp và người dân trong công tác phát triển du lịch. Vì thế để triển khai có hiệu quả công tác này</w:t>
      </w:r>
      <w:r w:rsidR="00DC4E4C">
        <w:rPr>
          <w:rFonts w:ascii="Times New Roman" w:hAnsi="Times New Roman" w:cs="Times New Roman"/>
          <w:sz w:val="28"/>
          <w:shd w:val="clear" w:color="auto" w:fill="FFFFFF"/>
        </w:rPr>
        <w:t>, Sở Văn hóa, Thể thao và Du lịch Bình Thuận</w:t>
      </w:r>
      <w:r w:rsidRPr="009C7D37">
        <w:rPr>
          <w:rFonts w:ascii="Times New Roman" w:hAnsi="Times New Roman" w:cs="Times New Roman"/>
          <w:sz w:val="28"/>
          <w:shd w:val="clear" w:color="auto" w:fill="FFFFFF"/>
        </w:rPr>
        <w:t xml:space="preserve"> đề xuất một số ý kiến như sau:</w:t>
      </w:r>
    </w:p>
    <w:p w:rsidR="009C7D37" w:rsidRPr="009C7D37" w:rsidRDefault="009C7D37" w:rsidP="00400255">
      <w:pPr>
        <w:spacing w:before="120" w:after="0"/>
        <w:ind w:firstLine="567"/>
        <w:jc w:val="both"/>
        <w:rPr>
          <w:rFonts w:ascii="Times New Roman" w:hAnsi="Times New Roman" w:cs="Times New Roman"/>
          <w:sz w:val="28"/>
          <w:szCs w:val="28"/>
        </w:rPr>
      </w:pPr>
      <w:r w:rsidRPr="009C7D37">
        <w:rPr>
          <w:rFonts w:ascii="Times New Roman" w:hAnsi="Times New Roman" w:cs="Times New Roman"/>
          <w:sz w:val="28"/>
          <w:szCs w:val="28"/>
        </w:rPr>
        <w:t xml:space="preserve">- </w:t>
      </w:r>
      <w:r w:rsidR="00214C4F">
        <w:rPr>
          <w:rFonts w:ascii="Times New Roman" w:hAnsi="Times New Roman" w:cs="Times New Roman"/>
          <w:sz w:val="28"/>
          <w:szCs w:val="28"/>
        </w:rPr>
        <w:t>Xây dựng</w:t>
      </w:r>
      <w:r w:rsidRPr="009C7D37">
        <w:rPr>
          <w:rFonts w:ascii="Times New Roman" w:hAnsi="Times New Roman" w:cs="Times New Roman"/>
          <w:sz w:val="28"/>
          <w:szCs w:val="28"/>
        </w:rPr>
        <w:t xml:space="preserve"> tiêu chí rõ ràng trong việc phân loại tài nguyên du lịch, xác định rõ các loại hình của tài nguyên</w:t>
      </w:r>
    </w:p>
    <w:p w:rsidR="009C7D37" w:rsidRDefault="009C7D37" w:rsidP="00400255">
      <w:pPr>
        <w:pStyle w:val="Stylebulleted"/>
        <w:numPr>
          <w:ilvl w:val="0"/>
          <w:numId w:val="0"/>
        </w:numPr>
        <w:ind w:firstLine="567"/>
        <w:rPr>
          <w:sz w:val="28"/>
          <w:szCs w:val="28"/>
        </w:rPr>
      </w:pPr>
      <w:r w:rsidRPr="009C7D37">
        <w:rPr>
          <w:sz w:val="28"/>
          <w:szCs w:val="28"/>
        </w:rPr>
        <w:t>- Tập huấn, hướng dẫn cụ thể phương pháp điều tra, kiểm kê, thu thập tài nguyên du lịch phù hợp với địa phương</w:t>
      </w:r>
      <w:r w:rsidR="00DC4E4C" w:rsidRPr="00400255">
        <w:rPr>
          <w:sz w:val="28"/>
          <w:szCs w:val="28"/>
        </w:rPr>
        <w:t xml:space="preserve"> theo từng thời điểm cụ thể</w:t>
      </w:r>
      <w:r w:rsidR="00214C4F" w:rsidRPr="00400255">
        <w:rPr>
          <w:sz w:val="28"/>
          <w:szCs w:val="28"/>
        </w:rPr>
        <w:t xml:space="preserve"> và </w:t>
      </w:r>
      <w:r w:rsidR="00400255" w:rsidRPr="00400255">
        <w:rPr>
          <w:sz w:val="28"/>
          <w:szCs w:val="28"/>
          <w:lang w:val="pt-BR"/>
        </w:rPr>
        <w:t>Ứng dụng các công nghệ khoa học trong kiểm kê tài nguyên, đánh giá, xếp loại tài nguyên, nghiên cứu biến động tài nguyên để quản lý các tài nguyên và môi trường</w:t>
      </w:r>
      <w:r w:rsidR="00400255">
        <w:rPr>
          <w:sz w:val="28"/>
          <w:szCs w:val="28"/>
          <w:lang w:val="pt-BR"/>
        </w:rPr>
        <w:t xml:space="preserve"> và </w:t>
      </w:r>
      <w:r w:rsidR="00214C4F">
        <w:rPr>
          <w:sz w:val="28"/>
          <w:szCs w:val="28"/>
        </w:rPr>
        <w:t>xây dựng cơ sở dữ liệu</w:t>
      </w:r>
      <w:r w:rsidR="00DC4E4C">
        <w:rPr>
          <w:sz w:val="28"/>
          <w:szCs w:val="28"/>
        </w:rPr>
        <w:t xml:space="preserve"> quốc gia</w:t>
      </w:r>
      <w:r w:rsidR="00214C4F">
        <w:rPr>
          <w:sz w:val="28"/>
          <w:szCs w:val="28"/>
        </w:rPr>
        <w:t xml:space="preserve"> đối với tài nguyên du lịch và nhân văn</w:t>
      </w:r>
      <w:r w:rsidR="00DC4E4C">
        <w:rPr>
          <w:sz w:val="28"/>
          <w:szCs w:val="28"/>
        </w:rPr>
        <w:t>.</w:t>
      </w:r>
    </w:p>
    <w:p w:rsidR="00DC4E4C" w:rsidRPr="00400255" w:rsidRDefault="00DC4E4C" w:rsidP="00400255">
      <w:pPr>
        <w:spacing w:before="120" w:after="0"/>
        <w:ind w:firstLine="720"/>
        <w:jc w:val="both"/>
        <w:rPr>
          <w:rFonts w:ascii="Times New Roman" w:hAnsi="Times New Roman" w:cs="Times New Roman"/>
          <w:sz w:val="28"/>
          <w:szCs w:val="28"/>
        </w:rPr>
      </w:pPr>
      <w:r w:rsidRPr="00400255">
        <w:rPr>
          <w:rFonts w:ascii="Times New Roman" w:hAnsi="Times New Roman" w:cs="Times New Roman"/>
          <w:sz w:val="28"/>
          <w:szCs w:val="28"/>
        </w:rPr>
        <w:t>-</w:t>
      </w:r>
      <w:r w:rsidRPr="00400255">
        <w:rPr>
          <w:rFonts w:ascii="Times New Roman" w:hAnsi="Times New Roman" w:cs="Times New Roman"/>
          <w:sz w:val="28"/>
          <w:szCs w:val="28"/>
          <w:lang w:val="vi-VN"/>
        </w:rPr>
        <w:t xml:space="preserve"> </w:t>
      </w:r>
      <w:r w:rsidRPr="00400255">
        <w:rPr>
          <w:rFonts w:ascii="Times New Roman" w:hAnsi="Times New Roman" w:cs="Times New Roman"/>
          <w:sz w:val="28"/>
          <w:szCs w:val="28"/>
        </w:rPr>
        <w:t xml:space="preserve">Nghiên cứu xây dựng </w:t>
      </w:r>
      <w:r w:rsidRPr="00400255">
        <w:rPr>
          <w:rFonts w:ascii="Times New Roman" w:hAnsi="Times New Roman" w:cs="Times New Roman"/>
          <w:sz w:val="28"/>
          <w:szCs w:val="28"/>
          <w:lang w:val="vi-VN"/>
        </w:rPr>
        <w:t>chính sách vĩ mô để tạo điều kiện cho làng nghề phát triển, đặc biệt chú trọng đến thành phần kinh tế tư nhân ở làng nghề bằng các giải pháp cụ thể như chính sách thông thoáng, nguồn vốn dễ tiếp cận, hỗ trợ xúc tiến thương mại, hỗ trợ đào tạo nghề, giúp đỡ giải quyết ô nhiễm môi trường...</w:t>
      </w:r>
    </w:p>
    <w:p w:rsidR="003D1A79" w:rsidRPr="003D1A79" w:rsidRDefault="003D1A79" w:rsidP="003D1A79">
      <w:pPr>
        <w:spacing w:before="60" w:after="0" w:line="240" w:lineRule="auto"/>
        <w:ind w:firstLine="72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3A43AE">
        <w:rPr>
          <w:rFonts w:ascii="Times New Roman" w:eastAsia="Calibri" w:hAnsi="Times New Roman" w:cs="Times New Roman"/>
          <w:bCs/>
          <w:sz w:val="28"/>
          <w:szCs w:val="28"/>
        </w:rPr>
        <w:t xml:space="preserve">Cần phải </w:t>
      </w:r>
      <w:r w:rsidR="003A43AE" w:rsidRPr="003D1A79">
        <w:rPr>
          <w:rFonts w:ascii="Times New Roman" w:eastAsia="Calibri" w:hAnsi="Times New Roman" w:cs="Times New Roman"/>
          <w:bCs/>
          <w:sz w:val="28"/>
          <w:szCs w:val="28"/>
        </w:rPr>
        <w:t>đ</w:t>
      </w:r>
      <w:r w:rsidRPr="003D1A79">
        <w:rPr>
          <w:rFonts w:ascii="Times New Roman" w:eastAsia="Calibri" w:hAnsi="Times New Roman" w:cs="Times New Roman"/>
          <w:bCs/>
          <w:sz w:val="28"/>
          <w:szCs w:val="28"/>
        </w:rPr>
        <w:t xml:space="preserve">ịnh hướng phát triển sản phẩm du lịch vùng duyên hải </w:t>
      </w:r>
      <w:r w:rsidR="00DD1562">
        <w:rPr>
          <w:rFonts w:ascii="Times New Roman" w:eastAsia="Calibri" w:hAnsi="Times New Roman" w:cs="Times New Roman"/>
          <w:bCs/>
          <w:sz w:val="28"/>
          <w:szCs w:val="28"/>
        </w:rPr>
        <w:t>Nam Trung bộ</w:t>
      </w:r>
      <w:bookmarkStart w:id="0" w:name="_GoBack"/>
      <w:bookmarkEnd w:id="0"/>
      <w:r w:rsidRPr="003D1A79">
        <w:rPr>
          <w:rFonts w:ascii="Times New Roman" w:eastAsia="Calibri" w:hAnsi="Times New Roman" w:cs="Times New Roman"/>
          <w:bCs/>
          <w:sz w:val="28"/>
          <w:szCs w:val="28"/>
        </w:rPr>
        <w:t xml:space="preserve"> trong mối quan hệ phát triển tổng thể du lịch cả nước.</w:t>
      </w:r>
    </w:p>
    <w:p w:rsidR="00DC4E4C" w:rsidRPr="009C7D37" w:rsidRDefault="00DC4E4C" w:rsidP="009C7D37">
      <w:pPr>
        <w:spacing w:after="0"/>
        <w:ind w:firstLine="720"/>
        <w:jc w:val="both"/>
        <w:rPr>
          <w:rFonts w:ascii="Times New Roman" w:hAnsi="Times New Roman" w:cs="Times New Roman"/>
          <w:sz w:val="28"/>
          <w:szCs w:val="28"/>
        </w:rPr>
      </w:pPr>
    </w:p>
    <w:p w:rsidR="00BC0FEF" w:rsidRDefault="00BC0FEF"/>
    <w:sectPr w:rsidR="00BC0FEF" w:rsidSect="00722621">
      <w:headerReference w:type="default" r:id="rId10"/>
      <w:pgSz w:w="11907" w:h="16840" w:code="9"/>
      <w:pgMar w:top="900" w:right="927" w:bottom="1134" w:left="1440"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592269"/>
      <w:docPartObj>
        <w:docPartGallery w:val="Page Numbers (Top of Page)"/>
        <w:docPartUnique/>
      </w:docPartObj>
    </w:sdtPr>
    <w:sdtEndPr>
      <w:rPr>
        <w:noProof/>
      </w:rPr>
    </w:sdtEndPr>
    <w:sdtContent>
      <w:p w:rsidR="009601E6" w:rsidRDefault="00DD156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9601E6" w:rsidRDefault="00DD1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B38E7"/>
    <w:multiLevelType w:val="hybridMultilevel"/>
    <w:tmpl w:val="8DF22314"/>
    <w:lvl w:ilvl="0" w:tplc="095A08C0">
      <w:start w:val="1"/>
      <w:numFmt w:val="bullet"/>
      <w:lvlText w:val=""/>
      <w:lvlJc w:val="left"/>
      <w:pPr>
        <w:tabs>
          <w:tab w:val="num" w:pos="360"/>
        </w:tabs>
        <w:ind w:left="360" w:hanging="360"/>
      </w:pPr>
      <w:rPr>
        <w:rFonts w:ascii="Symbol" w:hAnsi="Symbol" w:hint="default"/>
        <w:b/>
        <w:i w:val="0"/>
        <w:sz w:val="24"/>
        <w:szCs w:val="24"/>
      </w:rPr>
    </w:lvl>
    <w:lvl w:ilvl="1" w:tplc="B57A7E38">
      <w:start w:val="1"/>
      <w:numFmt w:val="bullet"/>
      <w:lvlText w:val=""/>
      <w:lvlJc w:val="left"/>
      <w:pPr>
        <w:tabs>
          <w:tab w:val="num" w:pos="1440"/>
        </w:tabs>
        <w:ind w:left="1440" w:hanging="360"/>
      </w:pPr>
      <w:rPr>
        <w:rFonts w:ascii="Symbol" w:hAnsi="Symbol" w:hint="default"/>
        <w:b/>
        <w:i w:val="0"/>
        <w:sz w:val="18"/>
        <w:szCs w:val="18"/>
      </w:rPr>
    </w:lvl>
    <w:lvl w:ilvl="2" w:tplc="99863844">
      <w:start w:val="1"/>
      <w:numFmt w:val="bullet"/>
      <w:lvlText w:val=""/>
      <w:lvlJc w:val="left"/>
      <w:pPr>
        <w:tabs>
          <w:tab w:val="num" w:pos="2160"/>
        </w:tabs>
        <w:ind w:left="2160" w:hanging="360"/>
      </w:pPr>
      <w:rPr>
        <w:rFonts w:ascii="Symbol" w:hAnsi="Symbol" w:hint="default"/>
        <w:b/>
        <w:i w:val="0"/>
        <w:sz w:val="18"/>
        <w:szCs w:val="18"/>
      </w:rPr>
    </w:lvl>
    <w:lvl w:ilvl="3" w:tplc="0B90E730">
      <w:start w:val="1"/>
      <w:numFmt w:val="bullet"/>
      <w:lvlText w:val=""/>
      <w:lvlJc w:val="left"/>
      <w:pPr>
        <w:tabs>
          <w:tab w:val="num" w:pos="2880"/>
        </w:tabs>
        <w:ind w:left="2880" w:hanging="360"/>
      </w:pPr>
      <w:rPr>
        <w:rFonts w:ascii="Symbol" w:hAnsi="Symbol" w:hint="default"/>
      </w:rPr>
    </w:lvl>
    <w:lvl w:ilvl="4" w:tplc="B56C990A" w:tentative="1">
      <w:start w:val="1"/>
      <w:numFmt w:val="bullet"/>
      <w:lvlText w:val="o"/>
      <w:lvlJc w:val="left"/>
      <w:pPr>
        <w:tabs>
          <w:tab w:val="num" w:pos="3600"/>
        </w:tabs>
        <w:ind w:left="3600" w:hanging="360"/>
      </w:pPr>
      <w:rPr>
        <w:rFonts w:ascii="Courier New" w:hAnsi="Courier New" w:cs="Courier New" w:hint="default"/>
      </w:rPr>
    </w:lvl>
    <w:lvl w:ilvl="5" w:tplc="9FE47AEA" w:tentative="1">
      <w:start w:val="1"/>
      <w:numFmt w:val="bullet"/>
      <w:lvlText w:val=""/>
      <w:lvlJc w:val="left"/>
      <w:pPr>
        <w:tabs>
          <w:tab w:val="num" w:pos="4320"/>
        </w:tabs>
        <w:ind w:left="4320" w:hanging="360"/>
      </w:pPr>
      <w:rPr>
        <w:rFonts w:ascii="Marlett" w:hAnsi="Marlett" w:hint="default"/>
      </w:rPr>
    </w:lvl>
    <w:lvl w:ilvl="6" w:tplc="06FAE726" w:tentative="1">
      <w:start w:val="1"/>
      <w:numFmt w:val="bullet"/>
      <w:lvlText w:val=""/>
      <w:lvlJc w:val="left"/>
      <w:pPr>
        <w:tabs>
          <w:tab w:val="num" w:pos="5040"/>
        </w:tabs>
        <w:ind w:left="5040" w:hanging="360"/>
      </w:pPr>
      <w:rPr>
        <w:rFonts w:ascii="Symbol" w:hAnsi="Symbol" w:hint="default"/>
      </w:rPr>
    </w:lvl>
    <w:lvl w:ilvl="7" w:tplc="49188F00" w:tentative="1">
      <w:start w:val="1"/>
      <w:numFmt w:val="bullet"/>
      <w:lvlText w:val="o"/>
      <w:lvlJc w:val="left"/>
      <w:pPr>
        <w:tabs>
          <w:tab w:val="num" w:pos="5760"/>
        </w:tabs>
        <w:ind w:left="5760" w:hanging="360"/>
      </w:pPr>
      <w:rPr>
        <w:rFonts w:ascii="Courier New" w:hAnsi="Courier New" w:cs="Courier New" w:hint="default"/>
      </w:rPr>
    </w:lvl>
    <w:lvl w:ilvl="8" w:tplc="79A64F66" w:tentative="1">
      <w:start w:val="1"/>
      <w:numFmt w:val="bullet"/>
      <w:lvlText w:val=""/>
      <w:lvlJc w:val="left"/>
      <w:pPr>
        <w:tabs>
          <w:tab w:val="num" w:pos="6480"/>
        </w:tabs>
        <w:ind w:left="6480" w:hanging="360"/>
      </w:pPr>
      <w:rPr>
        <w:rFonts w:ascii="Marlett" w:hAnsi="Marlett" w:hint="default"/>
      </w:rPr>
    </w:lvl>
  </w:abstractNum>
  <w:abstractNum w:abstractNumId="1">
    <w:nsid w:val="311F1EC8"/>
    <w:multiLevelType w:val="hybridMultilevel"/>
    <w:tmpl w:val="C240AD96"/>
    <w:lvl w:ilvl="0" w:tplc="FFFFFFFF">
      <w:numFmt w:val="bullet"/>
      <w:lvlText w:val="-"/>
      <w:lvlJc w:val="left"/>
      <w:pPr>
        <w:tabs>
          <w:tab w:val="num" w:pos="5747"/>
        </w:tabs>
        <w:ind w:left="5747" w:hanging="360"/>
      </w:pPr>
      <w:rPr>
        <w:rFonts w:ascii="Times New Roman" w:hAnsi="Times New Roman" w:hint="default"/>
      </w:rPr>
    </w:lvl>
    <w:lvl w:ilvl="1" w:tplc="FFFFFFFF">
      <w:start w:val="1"/>
      <w:numFmt w:val="bullet"/>
      <w:lvlText w:val=""/>
      <w:lvlJc w:val="left"/>
      <w:pPr>
        <w:tabs>
          <w:tab w:val="num" w:pos="1440"/>
        </w:tabs>
        <w:ind w:left="1440" w:hanging="360"/>
      </w:pPr>
      <w:rPr>
        <w:rFonts w:ascii="Symbol" w:hAnsi="Symbol" w:hint="default"/>
      </w:rPr>
    </w:lvl>
    <w:lvl w:ilvl="2" w:tplc="2AB615C4">
      <w:start w:val="1"/>
      <w:numFmt w:val="bullet"/>
      <w:lvlText w:val=""/>
      <w:lvlJc w:val="left"/>
      <w:pPr>
        <w:tabs>
          <w:tab w:val="num" w:pos="2681"/>
        </w:tabs>
        <w:ind w:left="1894" w:hanging="94"/>
      </w:pPr>
      <w:rPr>
        <w:rFonts w:ascii="Symbol" w:hAnsi="Symbol" w:cs="Times New Roman" w:hint="default"/>
        <w:sz w:val="24"/>
        <w:szCs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C96160C"/>
    <w:multiLevelType w:val="hybridMultilevel"/>
    <w:tmpl w:val="E6DE5CF4"/>
    <w:lvl w:ilvl="0" w:tplc="72C8E04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55CE1144"/>
    <w:multiLevelType w:val="multilevel"/>
    <w:tmpl w:val="53C2CFE2"/>
    <w:lvl w:ilvl="0">
      <w:start w:val="1"/>
      <w:numFmt w:val="bullet"/>
      <w:pStyle w:val="Stylebulleted"/>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37"/>
    <w:rsid w:val="00214C4F"/>
    <w:rsid w:val="003A43AE"/>
    <w:rsid w:val="003D1A79"/>
    <w:rsid w:val="00400255"/>
    <w:rsid w:val="00510F37"/>
    <w:rsid w:val="00650209"/>
    <w:rsid w:val="00722621"/>
    <w:rsid w:val="008F5F03"/>
    <w:rsid w:val="009C7D37"/>
    <w:rsid w:val="00BC0FEF"/>
    <w:rsid w:val="00DC4E4C"/>
    <w:rsid w:val="00DD1562"/>
    <w:rsid w:val="00ED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D37"/>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9C7D37"/>
    <w:rPr>
      <w:rFonts w:ascii="Times New Roman" w:hAnsi="Times New Roman"/>
      <w:sz w:val="28"/>
    </w:rPr>
  </w:style>
  <w:style w:type="paragraph" w:styleId="ListParagraph">
    <w:name w:val="List Paragraph"/>
    <w:basedOn w:val="Normal"/>
    <w:uiPriority w:val="34"/>
    <w:qFormat/>
    <w:rsid w:val="009C7D37"/>
    <w:pPr>
      <w:ind w:left="720"/>
      <w:contextualSpacing/>
    </w:pPr>
  </w:style>
  <w:style w:type="paragraph" w:customStyle="1" w:styleId="Stylebulleted">
    <w:name w:val="Style bulleted"/>
    <w:link w:val="StylebulletedChar"/>
    <w:qFormat/>
    <w:rsid w:val="00400255"/>
    <w:pPr>
      <w:widowControl w:val="0"/>
      <w:numPr>
        <w:numId w:val="4"/>
      </w:numPr>
      <w:tabs>
        <w:tab w:val="right" w:pos="9072"/>
      </w:tabs>
      <w:spacing w:before="120" w:after="120" w:line="240" w:lineRule="auto"/>
      <w:jc w:val="both"/>
    </w:pPr>
    <w:rPr>
      <w:rFonts w:ascii="Times New Roman" w:eastAsia="Calibri" w:hAnsi="Times New Roman" w:cs="Times New Roman"/>
      <w:sz w:val="26"/>
    </w:rPr>
  </w:style>
  <w:style w:type="character" w:customStyle="1" w:styleId="StylebulletedChar">
    <w:name w:val="Style bulleted Char"/>
    <w:link w:val="Stylebulleted"/>
    <w:rsid w:val="00400255"/>
    <w:rPr>
      <w:rFonts w:ascii="Times New Roman" w:eastAsia="Calibri" w:hAnsi="Times New Roman"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D37"/>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9C7D37"/>
    <w:rPr>
      <w:rFonts w:ascii="Times New Roman" w:hAnsi="Times New Roman"/>
      <w:sz w:val="28"/>
    </w:rPr>
  </w:style>
  <w:style w:type="paragraph" w:styleId="ListParagraph">
    <w:name w:val="List Paragraph"/>
    <w:basedOn w:val="Normal"/>
    <w:uiPriority w:val="34"/>
    <w:qFormat/>
    <w:rsid w:val="009C7D37"/>
    <w:pPr>
      <w:ind w:left="720"/>
      <w:contextualSpacing/>
    </w:pPr>
  </w:style>
  <w:style w:type="paragraph" w:customStyle="1" w:styleId="Stylebulleted">
    <w:name w:val="Style bulleted"/>
    <w:link w:val="StylebulletedChar"/>
    <w:qFormat/>
    <w:rsid w:val="00400255"/>
    <w:pPr>
      <w:widowControl w:val="0"/>
      <w:numPr>
        <w:numId w:val="4"/>
      </w:numPr>
      <w:tabs>
        <w:tab w:val="right" w:pos="9072"/>
      </w:tabs>
      <w:spacing w:before="120" w:after="120" w:line="240" w:lineRule="auto"/>
      <w:jc w:val="both"/>
    </w:pPr>
    <w:rPr>
      <w:rFonts w:ascii="Times New Roman" w:eastAsia="Calibri" w:hAnsi="Times New Roman" w:cs="Times New Roman"/>
      <w:sz w:val="26"/>
    </w:rPr>
  </w:style>
  <w:style w:type="character" w:customStyle="1" w:styleId="StylebulletedChar">
    <w:name w:val="Style bulleted Char"/>
    <w:link w:val="Stylebulleted"/>
    <w:rsid w:val="00400255"/>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ki/Ng%C6%B0%E1%BB%9Di_Ch%C6%A1_Ro" TargetMode="External"/><Relationship Id="rId3" Type="http://schemas.microsoft.com/office/2007/relationships/stylesWithEffects" Target="stylesWithEffects.xml"/><Relationship Id="rId7" Type="http://schemas.openxmlformats.org/officeDocument/2006/relationships/hyperlink" Target="http://vi.wikipedia.org/wiki/Ng%C6%B0%E1%BB%9Di_T%C3%A0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wikipedia.org/wiki/Ng%C6%B0%E1%BB%9Di_C%C6%A1_H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i.wikipedia.org/wiki/Ng%C6%B0%E1%BB%9Di_N%C3%B9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7</cp:revision>
  <cp:lastPrinted>2022-11-16T07:28:00Z</cp:lastPrinted>
  <dcterms:created xsi:type="dcterms:W3CDTF">2022-11-16T01:38:00Z</dcterms:created>
  <dcterms:modified xsi:type="dcterms:W3CDTF">2022-11-16T07:35:00Z</dcterms:modified>
</cp:coreProperties>
</file>